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F355" w14:textId="77777777" w:rsidR="00ED205F" w:rsidRDefault="00000000">
      <w:pPr>
        <w:shd w:val="clear" w:color="auto" w:fill="FFFFFF"/>
        <w:spacing w:before="300" w:after="150" w:line="288" w:lineRule="atLeast"/>
        <w:outlineLvl w:val="2"/>
        <w:rPr>
          <w:rFonts w:ascii="Lato" w:eastAsia="Times New Roman" w:hAnsi="Lato"/>
          <w:b/>
          <w:bCs/>
          <w:color w:val="3583F0"/>
          <w:kern w:val="0"/>
          <w:sz w:val="36"/>
          <w:szCs w:val="36"/>
          <w:lang w:eastAsia="en-GB"/>
        </w:rPr>
      </w:pPr>
      <w:r>
        <w:rPr>
          <w:rFonts w:ascii="Lato" w:eastAsia="Times New Roman" w:hAnsi="Lato"/>
          <w:b/>
          <w:bCs/>
          <w:color w:val="3583F0"/>
          <w:kern w:val="0"/>
          <w:sz w:val="36"/>
          <w:szCs w:val="36"/>
          <w:lang w:eastAsia="en-GB"/>
        </w:rPr>
        <w:t>Uneek Learning Academy Curriculum Offer</w:t>
      </w:r>
    </w:p>
    <w:p w14:paraId="60B0BE2C" w14:textId="77777777" w:rsidR="00ED205F" w:rsidRDefault="00000000">
      <w:pPr>
        <w:shd w:val="clear" w:color="auto" w:fill="FFFFFF"/>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777C83F5" w14:textId="77777777" w:rsidR="00ED205F" w:rsidRDefault="00000000">
      <w:pPr>
        <w:shd w:val="clear" w:color="auto" w:fill="FFFFFF"/>
        <w:spacing w:line="288" w:lineRule="atLeast"/>
        <w:outlineLvl w:val="3"/>
      </w:pPr>
      <w:r>
        <w:rPr>
          <w:rFonts w:eastAsia="Times New Roman" w:cs="Calibri"/>
          <w:b/>
          <w:bCs/>
          <w:color w:val="3583F0"/>
          <w:kern w:val="0"/>
          <w:sz w:val="28"/>
          <w:szCs w:val="28"/>
          <w:lang w:eastAsia="en-GB"/>
        </w:rPr>
        <w:t>Key Stage 3 – Provision &amp; Curriculum Offer</w:t>
      </w:r>
    </w:p>
    <w:tbl>
      <w:tblPr>
        <w:tblW w:w="14165" w:type="dxa"/>
        <w:tblCellMar>
          <w:left w:w="10" w:type="dxa"/>
          <w:right w:w="10" w:type="dxa"/>
        </w:tblCellMar>
        <w:tblLook w:val="04A0" w:firstRow="1" w:lastRow="0" w:firstColumn="1" w:lastColumn="0" w:noHBand="0" w:noVBand="1"/>
      </w:tblPr>
      <w:tblGrid>
        <w:gridCol w:w="2940"/>
        <w:gridCol w:w="11225"/>
      </w:tblGrid>
      <w:tr w:rsidR="00ED205F" w14:paraId="1ED3309C" w14:textId="77777777">
        <w:tblPrEx>
          <w:tblCellMar>
            <w:top w:w="0" w:type="dxa"/>
            <w:bottom w:w="0" w:type="dxa"/>
          </w:tblCellMar>
        </w:tblPrEx>
        <w:trPr>
          <w:trHeight w:val="584"/>
        </w:trPr>
        <w:tc>
          <w:tcPr>
            <w:tcW w:w="141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DF565F"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59016AD4" w14:textId="77777777" w:rsidR="00ED205F" w:rsidRDefault="00000000">
            <w:pPr>
              <w:spacing w:line="240" w:lineRule="auto"/>
            </w:pPr>
            <w:r>
              <w:rPr>
                <w:rFonts w:eastAsia="Times New Roman" w:cs="Calibri"/>
                <w:b/>
                <w:bCs/>
                <w:color w:val="707070"/>
                <w:kern w:val="0"/>
                <w:lang w:eastAsia="en-GB"/>
              </w:rPr>
              <w:t>General Description:</w:t>
            </w:r>
          </w:p>
          <w:p w14:paraId="266C2BA5" w14:textId="77777777" w:rsidR="00ED205F" w:rsidRDefault="00000000">
            <w:pPr>
              <w:spacing w:line="240" w:lineRule="auto"/>
            </w:pPr>
            <w:r>
              <w:rPr>
                <w:rFonts w:eastAsia="Times New Roman" w:cs="Calibri"/>
                <w:color w:val="707070"/>
                <w:kern w:val="0"/>
                <w:lang w:eastAsia="en-GB"/>
              </w:rPr>
              <w:t>The intention of the KS3 programmes is to provide a broad and balanced curriculum which incorporates both academic and practical subjects. There is a focus on personal and social development and students are supported by staff to think about their behaviour, recognise the triggers for any unacceptable behaviour and consider and implement any strategies for improvement. Schools and Partnerships will refer students for a part-time programme with a view to the students remaining on their roll. Students who attend the full-time 6 week programme will either return to school, secure a managed move to another mainstream school or move on to a Special School.  Some SEND students who may already have an EHCP and are awaiting a place at a Special School or are nearing the end of the Statutory Assessment process are often referred to Uneek Learning for support.</w:t>
            </w:r>
          </w:p>
        </w:tc>
      </w:tr>
      <w:tr w:rsidR="00ED205F" w14:paraId="4B2C63A0" w14:textId="77777777">
        <w:tblPrEx>
          <w:tblCellMar>
            <w:top w:w="0" w:type="dxa"/>
            <w:bottom w:w="0" w:type="dxa"/>
          </w:tblCellMar>
        </w:tblPrEx>
        <w:trPr>
          <w:trHeight w:val="400"/>
        </w:trPr>
        <w:tc>
          <w:tcPr>
            <w:tcW w:w="14165" w:type="dxa"/>
            <w:gridSpan w:val="2"/>
            <w:tcBorders>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26FC9815"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43631513" w14:textId="77777777" w:rsidR="00ED205F" w:rsidRDefault="00000000">
            <w:pPr>
              <w:spacing w:line="240" w:lineRule="auto"/>
            </w:pPr>
            <w:r>
              <w:rPr>
                <w:rFonts w:eastAsia="Times New Roman" w:cs="Calibri"/>
                <w:b/>
                <w:bCs/>
                <w:color w:val="707070"/>
                <w:kern w:val="0"/>
                <w:lang w:eastAsia="en-GB"/>
              </w:rPr>
              <w:t>The Educational Purpose of Each provision</w:t>
            </w:r>
          </w:p>
        </w:tc>
      </w:tr>
      <w:tr w:rsidR="00ED205F" w14:paraId="7D4F34CC"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00F6D648"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188743E0" w14:textId="77777777" w:rsidR="00ED205F" w:rsidRDefault="00000000">
            <w:pPr>
              <w:spacing w:line="240" w:lineRule="auto"/>
            </w:pPr>
            <w:r>
              <w:rPr>
                <w:rFonts w:eastAsia="Times New Roman" w:cs="Calibri"/>
                <w:b/>
                <w:bCs/>
                <w:color w:val="707070"/>
                <w:kern w:val="0"/>
                <w:lang w:eastAsia="en-GB"/>
              </w:rPr>
              <w:t>Title of Provision</w:t>
            </w:r>
          </w:p>
        </w:tc>
        <w:tc>
          <w:tcPr>
            <w:tcW w:w="11225" w:type="dxa"/>
            <w:tcBorders>
              <w:bottom w:val="single" w:sz="8" w:space="0" w:color="000000"/>
              <w:right w:val="single" w:sz="8" w:space="0" w:color="000000"/>
            </w:tcBorders>
            <w:shd w:val="clear" w:color="auto" w:fill="B4C6E7"/>
            <w:tcMar>
              <w:top w:w="0" w:type="dxa"/>
              <w:left w:w="108" w:type="dxa"/>
              <w:bottom w:w="0" w:type="dxa"/>
              <w:right w:w="108" w:type="dxa"/>
            </w:tcMar>
          </w:tcPr>
          <w:p w14:paraId="1843B94D"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7928848A" w14:textId="77777777" w:rsidR="00ED205F" w:rsidRDefault="00000000">
            <w:pPr>
              <w:spacing w:line="240" w:lineRule="auto"/>
            </w:pPr>
            <w:r>
              <w:rPr>
                <w:rFonts w:eastAsia="Times New Roman" w:cs="Calibri"/>
                <w:b/>
                <w:bCs/>
                <w:color w:val="707070"/>
                <w:kern w:val="0"/>
                <w:lang w:eastAsia="en-GB"/>
              </w:rPr>
              <w:t>Description of Provision &amp; Curriculum Offer</w:t>
            </w:r>
          </w:p>
          <w:p w14:paraId="2271A838"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tc>
      </w:tr>
      <w:tr w:rsidR="00ED205F" w14:paraId="47286338"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2A968BF" w14:textId="77777777" w:rsidR="00ED205F" w:rsidRDefault="00000000">
            <w:pPr>
              <w:spacing w:line="240" w:lineRule="auto"/>
            </w:pPr>
            <w:r>
              <w:rPr>
                <w:rFonts w:eastAsia="Times New Roman" w:cs="Calibri"/>
                <w:color w:val="707070"/>
                <w:kern w:val="0"/>
                <w:lang w:eastAsia="en-GB"/>
              </w:rPr>
              <w:t>KS 3 - 1Day Placement</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1824644C" w14:textId="77777777" w:rsidR="00ED205F" w:rsidRDefault="00000000">
            <w:pPr>
              <w:spacing w:line="240" w:lineRule="auto"/>
            </w:pPr>
            <w:r>
              <w:rPr>
                <w:rFonts w:eastAsia="Times New Roman" w:cs="Calibri"/>
                <w:color w:val="707070"/>
                <w:kern w:val="0"/>
                <w:lang w:eastAsia="en-GB"/>
              </w:rPr>
              <w:t>Often students who attend this programme also attend for an additional 2 days. This programme focuses on students developing their personal, social and communication skills within a more practical curriculum.</w:t>
            </w:r>
          </w:p>
        </w:tc>
      </w:tr>
      <w:tr w:rsidR="00ED205F" w14:paraId="3E759DBD"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732A3E" w14:textId="77777777" w:rsidR="00ED205F" w:rsidRDefault="00000000">
            <w:pPr>
              <w:spacing w:line="240" w:lineRule="auto"/>
            </w:pPr>
            <w:r>
              <w:rPr>
                <w:rFonts w:eastAsia="Times New Roman" w:cs="Calibri"/>
                <w:color w:val="707070"/>
                <w:kern w:val="0"/>
                <w:lang w:eastAsia="en-GB"/>
              </w:rPr>
              <w:t>KS3 - 2DP</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242870A1" w14:textId="77777777" w:rsidR="00ED205F" w:rsidRDefault="00000000">
            <w:pPr>
              <w:spacing w:line="240" w:lineRule="auto"/>
            </w:pPr>
            <w:r>
              <w:rPr>
                <w:rFonts w:eastAsia="Times New Roman" w:cs="Calibri"/>
                <w:color w:val="707070"/>
                <w:kern w:val="0"/>
                <w:lang w:eastAsia="en-GB"/>
              </w:rPr>
              <w:t>The aim of this programme is to maintain the academic levels that students have achieved in school whilst addressing their social, emotional and behavioural difficulties within a more practical curriculum which has an emphasis on PSHE.</w:t>
            </w:r>
          </w:p>
        </w:tc>
      </w:tr>
      <w:tr w:rsidR="00ED205F" w14:paraId="24B28D2E"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313FEA" w14:textId="77777777" w:rsidR="00ED205F" w:rsidRDefault="00000000">
            <w:pPr>
              <w:spacing w:line="240" w:lineRule="auto"/>
            </w:pPr>
            <w:r>
              <w:rPr>
                <w:rFonts w:eastAsia="Times New Roman" w:cs="Calibri"/>
                <w:color w:val="707070"/>
                <w:kern w:val="0"/>
                <w:lang w:eastAsia="en-GB"/>
              </w:rPr>
              <w:lastRenderedPageBreak/>
              <w:t>KS3 - 5DP</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196DCF33" w14:textId="77777777" w:rsidR="00ED205F" w:rsidRDefault="00000000">
            <w:pPr>
              <w:spacing w:line="240" w:lineRule="auto"/>
            </w:pPr>
            <w:r>
              <w:rPr>
                <w:rFonts w:eastAsia="Times New Roman" w:cs="Calibri"/>
                <w:color w:val="707070"/>
                <w:kern w:val="0"/>
                <w:lang w:eastAsia="en-GB"/>
              </w:rPr>
              <w:t>The curriculum in this programme compliments the work that has been undertaken in schools, building upon and developing knowledge and skills already acquired. This is a broad and balanced curriculum which focuses on both academic and practical subjects whilst incorporating PSHE and Careers Education.</w:t>
            </w:r>
          </w:p>
        </w:tc>
      </w:tr>
      <w:tr w:rsidR="00ED205F" w14:paraId="07BAD0A7"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DED348" w14:textId="77777777" w:rsidR="00ED205F" w:rsidRDefault="00000000">
            <w:pPr>
              <w:spacing w:line="240" w:lineRule="auto"/>
            </w:pPr>
            <w:r>
              <w:rPr>
                <w:rFonts w:eastAsia="Times New Roman" w:cs="Calibri"/>
                <w:color w:val="707070"/>
                <w:kern w:val="0"/>
                <w:lang w:eastAsia="en-GB"/>
              </w:rPr>
              <w:t>KS3 - SEND</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2F5C6C7D" w14:textId="77777777" w:rsidR="00ED205F" w:rsidRDefault="00000000">
            <w:pPr>
              <w:spacing w:line="240" w:lineRule="auto"/>
            </w:pPr>
            <w:r>
              <w:rPr>
                <w:rFonts w:eastAsia="Times New Roman" w:cs="Calibri"/>
                <w:color w:val="707070"/>
                <w:kern w:val="0"/>
                <w:lang w:eastAsia="en-GB"/>
              </w:rPr>
              <w:t>The curriculum in this programme is similar to the 5DP programme in that students are given a broad and balanced curriculum. An emphasis for students is to develop their literacy and numeracy skills within an academic and practical framework by completing work that has been differentiated to meet their needs. The aim of this programme is to provide students with the opportunity to raise their literacy and/or numeracy levels so they are able to fully access the curriculum in line with students of a similar age. This programme also offers students the opportunity to develop their communication, social and interaction skills within a nurturing environment.</w:t>
            </w:r>
          </w:p>
        </w:tc>
      </w:tr>
      <w:tr w:rsidR="00ED205F" w14:paraId="4DAAD03A"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E356F5" w14:textId="77777777" w:rsidR="00ED205F" w:rsidRDefault="00000000">
            <w:pPr>
              <w:spacing w:line="240" w:lineRule="auto"/>
            </w:pPr>
            <w:r>
              <w:rPr>
                <w:rFonts w:eastAsia="Times New Roman" w:cs="Calibri"/>
                <w:color w:val="707070"/>
                <w:kern w:val="0"/>
                <w:lang w:eastAsia="en-GB"/>
              </w:rPr>
              <w:t>KS3 - Pupil Premium</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408BC900" w14:textId="77777777" w:rsidR="00ED205F" w:rsidRDefault="00000000">
            <w:pPr>
              <w:spacing w:line="240" w:lineRule="auto"/>
            </w:pPr>
            <w:r>
              <w:rPr>
                <w:rFonts w:eastAsia="Times New Roman" w:cs="Calibri"/>
                <w:color w:val="707070"/>
                <w:kern w:val="0"/>
                <w:lang w:eastAsia="en-GB"/>
              </w:rPr>
              <w:t>All students who are deemed to be Pupil Premium have access to a broad and balanced curriculum incorporating both academic and practical subjects including PSHE and Careers. It is expected that these students will achieve in line with students who have not been identified as Pupil Premium.</w:t>
            </w:r>
          </w:p>
        </w:tc>
      </w:tr>
      <w:tr w:rsidR="00ED205F" w14:paraId="14AF7643"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0328FF" w14:textId="77777777" w:rsidR="00ED205F" w:rsidRDefault="00000000">
            <w:pPr>
              <w:spacing w:line="240" w:lineRule="auto"/>
            </w:pPr>
            <w:r>
              <w:rPr>
                <w:rFonts w:eastAsia="Times New Roman" w:cs="Calibri"/>
                <w:color w:val="707070"/>
                <w:kern w:val="0"/>
                <w:lang w:eastAsia="en-GB"/>
              </w:rPr>
              <w:t>KS3 – Capable Learners</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6D489600" w14:textId="77777777" w:rsidR="00ED205F" w:rsidRDefault="00000000">
            <w:pPr>
              <w:spacing w:line="240" w:lineRule="auto"/>
            </w:pPr>
            <w:r>
              <w:rPr>
                <w:rFonts w:eastAsia="Times New Roman" w:cs="Calibri"/>
                <w:color w:val="707070"/>
                <w:kern w:val="0"/>
                <w:lang w:eastAsia="en-GB"/>
              </w:rPr>
              <w:t>KS3 Capable Learners irrespective of the programme they attend have their work differentiated to compliment the level that they are working at. These students have opportunities to extend their learning during lessons.</w:t>
            </w:r>
          </w:p>
        </w:tc>
      </w:tr>
      <w:tr w:rsidR="00ED205F" w14:paraId="5DBC8703" w14:textId="77777777">
        <w:tblPrEx>
          <w:tblCellMar>
            <w:top w:w="0" w:type="dxa"/>
            <w:bottom w:w="0" w:type="dxa"/>
          </w:tblCellMar>
        </w:tblPrEx>
        <w:trPr>
          <w:trHeight w:val="216"/>
        </w:trPr>
        <w:tc>
          <w:tcPr>
            <w:tcW w:w="14165" w:type="dxa"/>
            <w:gridSpan w:val="2"/>
            <w:tcBorders>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2A58B059" w14:textId="77777777" w:rsidR="00ED205F" w:rsidRDefault="00000000">
            <w:pPr>
              <w:spacing w:line="240" w:lineRule="auto"/>
            </w:pPr>
            <w:r>
              <w:rPr>
                <w:rFonts w:eastAsia="Times New Roman" w:cs="Calibri"/>
                <w:b/>
                <w:bCs/>
                <w:color w:val="707070"/>
                <w:kern w:val="0"/>
                <w:lang w:eastAsia="en-GB"/>
              </w:rPr>
              <w:t>Personal Development</w:t>
            </w:r>
          </w:p>
          <w:p w14:paraId="27720F2A"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tc>
      </w:tr>
      <w:tr w:rsidR="00ED205F" w14:paraId="61540F78"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2494663E"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6C231E6E" w14:textId="77777777" w:rsidR="00ED205F" w:rsidRDefault="00000000">
            <w:pPr>
              <w:spacing w:line="240" w:lineRule="auto"/>
            </w:pPr>
            <w:r>
              <w:rPr>
                <w:rFonts w:eastAsia="Times New Roman" w:cs="Calibri"/>
                <w:b/>
                <w:bCs/>
                <w:color w:val="707070"/>
                <w:kern w:val="0"/>
                <w:lang w:eastAsia="en-GB"/>
              </w:rPr>
              <w:t>Title of Provision</w:t>
            </w:r>
          </w:p>
          <w:p w14:paraId="1A534DDC"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tc>
        <w:tc>
          <w:tcPr>
            <w:tcW w:w="11225" w:type="dxa"/>
            <w:tcBorders>
              <w:bottom w:val="single" w:sz="8" w:space="0" w:color="000000"/>
              <w:right w:val="single" w:sz="8" w:space="0" w:color="000000"/>
            </w:tcBorders>
            <w:shd w:val="clear" w:color="auto" w:fill="B4C6E7"/>
            <w:tcMar>
              <w:top w:w="0" w:type="dxa"/>
              <w:left w:w="108" w:type="dxa"/>
              <w:bottom w:w="0" w:type="dxa"/>
              <w:right w:w="108" w:type="dxa"/>
            </w:tcMar>
          </w:tcPr>
          <w:p w14:paraId="08DEB9FB"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6391897B" w14:textId="77777777" w:rsidR="00ED205F" w:rsidRDefault="00000000">
            <w:pPr>
              <w:spacing w:line="240" w:lineRule="auto"/>
            </w:pPr>
            <w:r>
              <w:rPr>
                <w:rFonts w:eastAsia="Times New Roman" w:cs="Calibri"/>
                <w:b/>
                <w:bCs/>
                <w:color w:val="707070"/>
                <w:kern w:val="0"/>
                <w:lang w:eastAsia="en-GB"/>
              </w:rPr>
              <w:t>Description of Provision &amp; Curriculum Offer</w:t>
            </w:r>
          </w:p>
        </w:tc>
      </w:tr>
      <w:tr w:rsidR="00ED205F" w14:paraId="6315D9F2"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E25BFD"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36EFDA3E" w14:textId="77777777" w:rsidR="00ED205F" w:rsidRDefault="00000000">
            <w:pPr>
              <w:spacing w:line="240" w:lineRule="auto"/>
            </w:pPr>
            <w:r>
              <w:rPr>
                <w:rFonts w:eastAsia="Times New Roman" w:cs="Calibri"/>
                <w:color w:val="707070"/>
                <w:kern w:val="0"/>
                <w:lang w:eastAsia="en-GB"/>
              </w:rPr>
              <w:t>All Provisions</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2A945491" w14:textId="77777777" w:rsidR="00ED205F" w:rsidRDefault="00000000">
            <w:pPr>
              <w:spacing w:line="240" w:lineRule="auto"/>
              <w:jc w:val="both"/>
            </w:pPr>
            <w:r>
              <w:rPr>
                <w:rFonts w:eastAsia="Times New Roman" w:cs="Calibri"/>
                <w:color w:val="707070"/>
                <w:kern w:val="0"/>
                <w:lang w:eastAsia="en-GB"/>
              </w:rPr>
              <w:t>The intent of PSHE education is to provide opportunities for pupils to develop essential skills and attributes to keep themselves healthy and safe and to thrive in life and work. These skills and attributes include resilience, managing peer pressure, empathy, communication and negotiation, team-working, adaptability, risk management and personal, interpersonal and social effectiveness. Pupils develop these skills and attributes while learning about the areas as highlighted below</w:t>
            </w:r>
          </w:p>
          <w:p w14:paraId="177D0290" w14:textId="77777777" w:rsidR="00ED205F" w:rsidRDefault="00000000">
            <w:pPr>
              <w:spacing w:line="240" w:lineRule="auto"/>
              <w:jc w:val="both"/>
            </w:pPr>
            <w:r>
              <w:rPr>
                <w:rFonts w:eastAsia="Times New Roman" w:cs="Calibri"/>
                <w:color w:val="7030A0"/>
                <w:kern w:val="0"/>
                <w:lang w:eastAsia="en-GB"/>
              </w:rPr>
              <w:t>Core theme 1 – Health and Wellbeing</w:t>
            </w:r>
          </w:p>
          <w:p w14:paraId="31D81785" w14:textId="77777777" w:rsidR="00ED205F" w:rsidRDefault="00000000">
            <w:pPr>
              <w:numPr>
                <w:ilvl w:val="0"/>
                <w:numId w:val="1"/>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Mental wellbeing</w:t>
            </w:r>
          </w:p>
          <w:p w14:paraId="4A0B0E8D" w14:textId="77777777" w:rsidR="00ED205F" w:rsidRDefault="00000000">
            <w:pPr>
              <w:numPr>
                <w:ilvl w:val="0"/>
                <w:numId w:val="1"/>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lastRenderedPageBreak/>
              <w:t>Internet safety and harms</w:t>
            </w:r>
          </w:p>
          <w:p w14:paraId="253A0AC5" w14:textId="77777777" w:rsidR="00ED205F" w:rsidRDefault="00000000">
            <w:pPr>
              <w:numPr>
                <w:ilvl w:val="0"/>
                <w:numId w:val="1"/>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Physical health and fitness</w:t>
            </w:r>
          </w:p>
          <w:p w14:paraId="3EBBEF59" w14:textId="77777777" w:rsidR="00ED205F" w:rsidRDefault="00000000">
            <w:pPr>
              <w:numPr>
                <w:ilvl w:val="0"/>
                <w:numId w:val="1"/>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Healthy eating</w:t>
            </w:r>
          </w:p>
          <w:p w14:paraId="4ADA039F" w14:textId="77777777" w:rsidR="00ED205F" w:rsidRDefault="00000000">
            <w:pPr>
              <w:numPr>
                <w:ilvl w:val="0"/>
                <w:numId w:val="1"/>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Drugs, alcohol and tobacco</w:t>
            </w:r>
          </w:p>
          <w:p w14:paraId="28C9BFE2" w14:textId="77777777" w:rsidR="00ED205F" w:rsidRDefault="00000000">
            <w:pPr>
              <w:numPr>
                <w:ilvl w:val="0"/>
                <w:numId w:val="1"/>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Health and prevention</w:t>
            </w:r>
          </w:p>
          <w:p w14:paraId="5ED301C3" w14:textId="77777777" w:rsidR="00ED205F" w:rsidRDefault="00000000">
            <w:pPr>
              <w:numPr>
                <w:ilvl w:val="0"/>
                <w:numId w:val="1"/>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Basic first aid</w:t>
            </w:r>
          </w:p>
          <w:p w14:paraId="5FF78CAD" w14:textId="77777777" w:rsidR="00ED205F" w:rsidRDefault="00000000">
            <w:pPr>
              <w:numPr>
                <w:ilvl w:val="0"/>
                <w:numId w:val="1"/>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Changing adolescent body</w:t>
            </w:r>
          </w:p>
          <w:p w14:paraId="36DCA5D6" w14:textId="77777777" w:rsidR="00ED205F" w:rsidRDefault="00000000">
            <w:pPr>
              <w:spacing w:after="0" w:line="240" w:lineRule="auto"/>
              <w:ind w:left="720"/>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49D2C62D" w14:textId="77777777" w:rsidR="00ED205F" w:rsidRDefault="00000000">
            <w:pPr>
              <w:spacing w:line="240" w:lineRule="auto"/>
              <w:jc w:val="both"/>
            </w:pPr>
            <w:r>
              <w:rPr>
                <w:rFonts w:eastAsia="Times New Roman" w:cs="Calibri"/>
                <w:color w:val="7030A0"/>
                <w:kern w:val="0"/>
                <w:lang w:eastAsia="en-GB"/>
              </w:rPr>
              <w:t>Core theme 2 – Relationships</w:t>
            </w:r>
          </w:p>
          <w:p w14:paraId="36099878" w14:textId="77777777" w:rsidR="00ED205F" w:rsidRDefault="00000000">
            <w:pPr>
              <w:numPr>
                <w:ilvl w:val="0"/>
                <w:numId w:val="2"/>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Families</w:t>
            </w:r>
          </w:p>
          <w:p w14:paraId="292B118E" w14:textId="77777777" w:rsidR="00ED205F" w:rsidRDefault="00000000">
            <w:pPr>
              <w:numPr>
                <w:ilvl w:val="0"/>
                <w:numId w:val="2"/>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Respectful relationships including friendships</w:t>
            </w:r>
          </w:p>
          <w:p w14:paraId="744D45E1" w14:textId="77777777" w:rsidR="00ED205F" w:rsidRDefault="00000000">
            <w:pPr>
              <w:numPr>
                <w:ilvl w:val="0"/>
                <w:numId w:val="2"/>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Online and media</w:t>
            </w:r>
          </w:p>
          <w:p w14:paraId="537ECC03" w14:textId="77777777" w:rsidR="00ED205F" w:rsidRDefault="00000000">
            <w:pPr>
              <w:numPr>
                <w:ilvl w:val="0"/>
                <w:numId w:val="2"/>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Being Safe</w:t>
            </w:r>
          </w:p>
          <w:p w14:paraId="426571EC" w14:textId="77777777" w:rsidR="00ED205F" w:rsidRDefault="00000000">
            <w:pPr>
              <w:numPr>
                <w:ilvl w:val="0"/>
                <w:numId w:val="2"/>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Intimate and sexual relationships </w:t>
            </w:r>
          </w:p>
          <w:p w14:paraId="48D0349D" w14:textId="77777777" w:rsidR="00ED205F" w:rsidRDefault="00000000">
            <w:pPr>
              <w:numPr>
                <w:ilvl w:val="0"/>
                <w:numId w:val="2"/>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The law</w:t>
            </w:r>
          </w:p>
          <w:p w14:paraId="767F489E" w14:textId="77777777" w:rsidR="00ED205F" w:rsidRDefault="00000000">
            <w:pPr>
              <w:spacing w:after="0" w:line="240" w:lineRule="auto"/>
              <w:ind w:left="720"/>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0C11D096" w14:textId="77777777" w:rsidR="00ED205F" w:rsidRDefault="00000000">
            <w:pPr>
              <w:spacing w:line="240" w:lineRule="auto"/>
              <w:jc w:val="both"/>
            </w:pPr>
            <w:r>
              <w:rPr>
                <w:rFonts w:eastAsia="Times New Roman" w:cs="Calibri"/>
                <w:color w:val="7030A0"/>
                <w:kern w:val="0"/>
                <w:lang w:eastAsia="en-GB"/>
              </w:rPr>
              <w:t>Core theme 3 – Wider World</w:t>
            </w:r>
          </w:p>
          <w:p w14:paraId="227BAF49" w14:textId="77777777" w:rsidR="00ED205F" w:rsidRDefault="00000000">
            <w:pPr>
              <w:numPr>
                <w:ilvl w:val="0"/>
                <w:numId w:val="3"/>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Developing skills and aspirations</w:t>
            </w:r>
          </w:p>
          <w:p w14:paraId="7E003E1C" w14:textId="77777777" w:rsidR="00ED205F" w:rsidRDefault="00000000">
            <w:pPr>
              <w:numPr>
                <w:ilvl w:val="0"/>
                <w:numId w:val="3"/>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Community and careers</w:t>
            </w:r>
          </w:p>
          <w:p w14:paraId="6A5BBA05" w14:textId="77777777" w:rsidR="00ED205F" w:rsidRDefault="00000000">
            <w:pPr>
              <w:numPr>
                <w:ilvl w:val="0"/>
                <w:numId w:val="3"/>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Setting goals</w:t>
            </w:r>
          </w:p>
          <w:p w14:paraId="5BFC49C6" w14:textId="77777777" w:rsidR="00ED205F" w:rsidRDefault="00000000">
            <w:pPr>
              <w:numPr>
                <w:ilvl w:val="0"/>
                <w:numId w:val="3"/>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Financial decision making</w:t>
            </w:r>
          </w:p>
          <w:p w14:paraId="78A729B6" w14:textId="77777777" w:rsidR="00ED205F" w:rsidRDefault="00000000">
            <w:pPr>
              <w:numPr>
                <w:ilvl w:val="0"/>
                <w:numId w:val="3"/>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Next steps</w:t>
            </w:r>
          </w:p>
          <w:p w14:paraId="3FF823D4" w14:textId="77777777" w:rsidR="00ED205F" w:rsidRDefault="00000000">
            <w:pPr>
              <w:numPr>
                <w:ilvl w:val="0"/>
                <w:numId w:val="3"/>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Digital literacy</w:t>
            </w:r>
          </w:p>
          <w:p w14:paraId="2D834778" w14:textId="77777777" w:rsidR="00ED205F" w:rsidRDefault="00000000">
            <w:pPr>
              <w:numPr>
                <w:ilvl w:val="0"/>
                <w:numId w:val="3"/>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Employability skills</w:t>
            </w:r>
          </w:p>
          <w:p w14:paraId="20599D10" w14:textId="77777777" w:rsidR="00ED205F" w:rsidRDefault="00000000">
            <w:pPr>
              <w:numPr>
                <w:ilvl w:val="0"/>
                <w:numId w:val="3"/>
              </w:numPr>
              <w:spacing w:before="100" w:after="0"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lastRenderedPageBreak/>
              <w:t>Work experience</w:t>
            </w:r>
          </w:p>
          <w:p w14:paraId="28EB39D1" w14:textId="77777777" w:rsidR="00ED205F" w:rsidRDefault="00000000">
            <w:pPr>
              <w:spacing w:line="240" w:lineRule="auto"/>
              <w:jc w:val="both"/>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tc>
      </w:tr>
    </w:tbl>
    <w:p w14:paraId="5856FCA4" w14:textId="77777777" w:rsidR="00ED205F" w:rsidRDefault="00000000">
      <w:pPr>
        <w:shd w:val="clear" w:color="auto" w:fill="FFFFFF"/>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lastRenderedPageBreak/>
        <w:t> </w:t>
      </w:r>
    </w:p>
    <w:p w14:paraId="1C2716B7" w14:textId="77777777" w:rsidR="00ED205F" w:rsidRDefault="00000000">
      <w:pPr>
        <w:shd w:val="clear" w:color="auto" w:fill="FFFFFF"/>
        <w:spacing w:line="288" w:lineRule="atLeast"/>
        <w:outlineLvl w:val="3"/>
      </w:pPr>
      <w:r>
        <w:rPr>
          <w:rFonts w:eastAsia="Times New Roman" w:cs="Calibri"/>
          <w:b/>
          <w:bCs/>
          <w:color w:val="3583F0"/>
          <w:kern w:val="0"/>
          <w:sz w:val="28"/>
          <w:szCs w:val="28"/>
          <w:lang w:eastAsia="en-GB"/>
        </w:rPr>
        <w:t>Key Stage 4 – Provision &amp; Curriculum Offer</w:t>
      </w:r>
    </w:p>
    <w:tbl>
      <w:tblPr>
        <w:tblW w:w="14165" w:type="dxa"/>
        <w:tblCellMar>
          <w:left w:w="10" w:type="dxa"/>
          <w:right w:w="10" w:type="dxa"/>
        </w:tblCellMar>
        <w:tblLook w:val="04A0" w:firstRow="1" w:lastRow="0" w:firstColumn="1" w:lastColumn="0" w:noHBand="0" w:noVBand="1"/>
      </w:tblPr>
      <w:tblGrid>
        <w:gridCol w:w="2940"/>
        <w:gridCol w:w="11225"/>
      </w:tblGrid>
      <w:tr w:rsidR="00ED205F" w14:paraId="6B968FD4" w14:textId="77777777">
        <w:tblPrEx>
          <w:tblCellMar>
            <w:top w:w="0" w:type="dxa"/>
            <w:bottom w:w="0" w:type="dxa"/>
          </w:tblCellMar>
        </w:tblPrEx>
        <w:trPr>
          <w:trHeight w:val="584"/>
        </w:trPr>
        <w:tc>
          <w:tcPr>
            <w:tcW w:w="141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9F3CFB"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51F31C22" w14:textId="77777777" w:rsidR="00ED205F" w:rsidRDefault="00000000">
            <w:pPr>
              <w:spacing w:line="240" w:lineRule="auto"/>
            </w:pPr>
            <w:r>
              <w:rPr>
                <w:rFonts w:eastAsia="Times New Roman" w:cs="Calibri"/>
                <w:b/>
                <w:bCs/>
                <w:color w:val="707070"/>
                <w:kern w:val="0"/>
                <w:lang w:eastAsia="en-GB"/>
              </w:rPr>
              <w:t>General Description:</w:t>
            </w:r>
          </w:p>
          <w:p w14:paraId="768B31F8" w14:textId="77777777" w:rsidR="00ED205F" w:rsidRDefault="00000000">
            <w:pPr>
              <w:spacing w:line="240" w:lineRule="auto"/>
            </w:pPr>
            <w:r>
              <w:rPr>
                <w:rFonts w:eastAsia="Times New Roman" w:cs="Calibri"/>
                <w:color w:val="707070"/>
                <w:kern w:val="0"/>
                <w:lang w:eastAsia="en-GB"/>
              </w:rPr>
              <w:t>Key Stage 4 students are academically assessed in maths, English and ICT using the BKSB assessment and diagnostic</w:t>
            </w:r>
            <w:r>
              <w:rPr>
                <w:rFonts w:eastAsia="Times New Roman" w:cs="Calibri"/>
                <w:b/>
                <w:bCs/>
                <w:color w:val="707070"/>
                <w:kern w:val="0"/>
                <w:lang w:eastAsia="en-GB"/>
              </w:rPr>
              <w:t> </w:t>
            </w:r>
            <w:r>
              <w:rPr>
                <w:rFonts w:eastAsia="Times New Roman" w:cs="Calibri"/>
                <w:color w:val="707070"/>
                <w:kern w:val="0"/>
                <w:lang w:eastAsia="en-GB"/>
              </w:rPr>
              <w:t>tool. This quickly establishes working at levels</w:t>
            </w:r>
            <w:r>
              <w:rPr>
                <w:rFonts w:eastAsia="Times New Roman" w:cs="Calibri"/>
                <w:b/>
                <w:bCs/>
                <w:color w:val="707070"/>
                <w:kern w:val="0"/>
                <w:lang w:eastAsia="en-GB"/>
              </w:rPr>
              <w:t> </w:t>
            </w:r>
            <w:r>
              <w:rPr>
                <w:rFonts w:eastAsia="Times New Roman" w:cs="Calibri"/>
                <w:color w:val="707070"/>
                <w:kern w:val="0"/>
                <w:lang w:eastAsia="en-GB"/>
              </w:rPr>
              <w:t>for students and work can be appropriately differentiated. Students receive support on vocational learning opportunities through the use of Lead Tutors and the Vocational Co-ordinator. This enables the young people to make well informed realistic decisions about the selection of appropriate vocational provisions and to complete the continuum of support in the young person’s varied educational pathways.</w:t>
            </w:r>
          </w:p>
          <w:p w14:paraId="5508ED54" w14:textId="77777777" w:rsidR="00ED205F" w:rsidRDefault="00000000">
            <w:pPr>
              <w:spacing w:line="240" w:lineRule="auto"/>
              <w:rPr>
                <w:rFonts w:eastAsia="Times New Roman" w:cs="Calibri"/>
                <w:color w:val="707070"/>
                <w:kern w:val="0"/>
                <w:lang w:eastAsia="en-GB"/>
              </w:rPr>
            </w:pPr>
            <w:r>
              <w:rPr>
                <w:rFonts w:eastAsia="Times New Roman" w:cs="Calibri"/>
                <w:color w:val="707070"/>
                <w:kern w:val="0"/>
                <w:lang w:eastAsia="en-GB"/>
              </w:rPr>
              <w:t>The pathways are progressive and ability specific with YR 10 / YR11 students following a Functional Skills Maths, English, ICT and PSD programme. This offers on demand testing and builds success, achievement and progression into the young person’s education quickly throughout the academic year.</w:t>
            </w:r>
          </w:p>
          <w:p w14:paraId="5285A1A1" w14:textId="77777777" w:rsidR="00ED205F" w:rsidRDefault="00000000">
            <w:pPr>
              <w:spacing w:line="240" w:lineRule="auto"/>
            </w:pPr>
            <w:r>
              <w:rPr>
                <w:rFonts w:eastAsia="Times New Roman" w:cs="Calibri"/>
                <w:color w:val="707070"/>
                <w:kern w:val="0"/>
                <w:lang w:eastAsia="en-GB"/>
              </w:rPr>
              <w:t>This range of academic and vocational qualifications is diverse and allows the young people to select what Vocational pathway they want to follow. They also receive the support from a bespoke Vocational Co-ordinator to assist with attendance/attainment and pastoral matters. The Vocational Co-ordinator liaise with the KS4 Tutors to create a joined up and progressive pathway into Post-16 applications and destinations. The KS4 team also benefits from the use of a PA that is allocated from Leicestershire Connexions.  This wrap around support ensures that all Yr 11 leavers receive a FE or training provider opportunity Post -16.</w:t>
            </w:r>
          </w:p>
        </w:tc>
      </w:tr>
      <w:tr w:rsidR="00ED205F" w14:paraId="7E10826A" w14:textId="77777777">
        <w:tblPrEx>
          <w:tblCellMar>
            <w:top w:w="0" w:type="dxa"/>
            <w:bottom w:w="0" w:type="dxa"/>
          </w:tblCellMar>
        </w:tblPrEx>
        <w:trPr>
          <w:trHeight w:val="400"/>
        </w:trPr>
        <w:tc>
          <w:tcPr>
            <w:tcW w:w="14165" w:type="dxa"/>
            <w:gridSpan w:val="2"/>
            <w:tcBorders>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A1898E7"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6CAE8425" w14:textId="77777777" w:rsidR="00ED205F" w:rsidRDefault="00000000">
            <w:pPr>
              <w:spacing w:line="240" w:lineRule="auto"/>
            </w:pPr>
            <w:r>
              <w:rPr>
                <w:rFonts w:eastAsia="Times New Roman" w:cs="Calibri"/>
                <w:b/>
                <w:bCs/>
                <w:color w:val="707070"/>
                <w:kern w:val="0"/>
                <w:lang w:eastAsia="en-GB"/>
              </w:rPr>
              <w:t>The Educational Purpose of Each provision</w:t>
            </w:r>
          </w:p>
        </w:tc>
      </w:tr>
      <w:tr w:rsidR="00ED205F" w14:paraId="007F2C72"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5A6809D4"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644DE474" w14:textId="77777777" w:rsidR="00ED205F" w:rsidRDefault="00000000">
            <w:pPr>
              <w:spacing w:line="240" w:lineRule="auto"/>
            </w:pPr>
            <w:r>
              <w:rPr>
                <w:rFonts w:eastAsia="Times New Roman" w:cs="Calibri"/>
                <w:b/>
                <w:bCs/>
                <w:color w:val="707070"/>
                <w:kern w:val="0"/>
                <w:lang w:eastAsia="en-GB"/>
              </w:rPr>
              <w:t>Title of Provision</w:t>
            </w:r>
          </w:p>
          <w:p w14:paraId="1B421933"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tc>
        <w:tc>
          <w:tcPr>
            <w:tcW w:w="11225" w:type="dxa"/>
            <w:tcBorders>
              <w:bottom w:val="single" w:sz="8" w:space="0" w:color="000000"/>
              <w:right w:val="single" w:sz="8" w:space="0" w:color="000000"/>
            </w:tcBorders>
            <w:shd w:val="clear" w:color="auto" w:fill="B4C6E7"/>
            <w:tcMar>
              <w:top w:w="0" w:type="dxa"/>
              <w:left w:w="108" w:type="dxa"/>
              <w:bottom w:w="0" w:type="dxa"/>
              <w:right w:w="108" w:type="dxa"/>
            </w:tcMar>
          </w:tcPr>
          <w:p w14:paraId="51CD71F3"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51994880" w14:textId="77777777" w:rsidR="00ED205F" w:rsidRDefault="00000000">
            <w:pPr>
              <w:spacing w:line="240" w:lineRule="auto"/>
            </w:pPr>
            <w:r>
              <w:rPr>
                <w:rFonts w:eastAsia="Times New Roman" w:cs="Calibri"/>
                <w:b/>
                <w:bCs/>
                <w:color w:val="707070"/>
                <w:kern w:val="0"/>
                <w:lang w:eastAsia="en-GB"/>
              </w:rPr>
              <w:t>Description of Provision &amp; Curriculum Offer</w:t>
            </w:r>
          </w:p>
        </w:tc>
      </w:tr>
      <w:tr w:rsidR="00ED205F" w14:paraId="76A1E641"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9D8D201" w14:textId="77777777" w:rsidR="00ED205F" w:rsidRDefault="00000000">
            <w:pPr>
              <w:spacing w:line="240" w:lineRule="auto"/>
            </w:pPr>
            <w:r>
              <w:rPr>
                <w:rFonts w:eastAsia="Times New Roman" w:cs="Calibri"/>
                <w:color w:val="707070"/>
                <w:kern w:val="0"/>
                <w:lang w:eastAsia="en-GB"/>
              </w:rPr>
              <w:lastRenderedPageBreak/>
              <w:t>KS4 - Functional Skills</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7DFD39DE" w14:textId="77777777" w:rsidR="00ED205F" w:rsidRDefault="00000000">
            <w:pPr>
              <w:spacing w:line="240" w:lineRule="auto"/>
              <w:rPr>
                <w:rFonts w:eastAsia="Times New Roman" w:cs="Calibri"/>
                <w:color w:val="707070"/>
                <w:kern w:val="0"/>
                <w:lang w:eastAsia="en-GB"/>
              </w:rPr>
            </w:pPr>
            <w:r>
              <w:rPr>
                <w:rFonts w:eastAsia="Times New Roman" w:cs="Calibri"/>
                <w:color w:val="707070"/>
                <w:kern w:val="0"/>
                <w:lang w:eastAsia="en-GB"/>
              </w:rPr>
              <w:t>The Functional provision provides the you people the opportunity to gain ability level appropriate qualifications in English, math, ICT and PSD/Employability qualifications one day a week. This programme supports vocational learning and offers academic qualifications from Entry level 1 all the way up to Level 2 qualifications.</w:t>
            </w:r>
          </w:p>
        </w:tc>
      </w:tr>
      <w:tr w:rsidR="00ED205F" w14:paraId="71E994A6"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0B43B9" w14:textId="77777777" w:rsidR="00ED205F" w:rsidRDefault="00000000">
            <w:pPr>
              <w:spacing w:line="240" w:lineRule="auto"/>
            </w:pPr>
            <w:r>
              <w:rPr>
                <w:rFonts w:eastAsia="Times New Roman" w:cs="Calibri"/>
                <w:color w:val="707070"/>
                <w:kern w:val="0"/>
                <w:lang w:eastAsia="en-GB"/>
              </w:rPr>
              <w:t>KS4- Vocational Learning</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1731F0A4" w14:textId="77777777" w:rsidR="00ED205F" w:rsidRDefault="00000000">
            <w:pPr>
              <w:spacing w:line="240" w:lineRule="auto"/>
            </w:pPr>
            <w:r>
              <w:rPr>
                <w:rFonts w:eastAsia="Times New Roman" w:cs="Calibri"/>
                <w:color w:val="707070"/>
                <w:kern w:val="0"/>
                <w:lang w:eastAsia="en-GB"/>
              </w:rPr>
              <w:t xml:space="preserve">We have a range of vocational in house and offsite vocational courses which are Health &amp; Safety compliant through the use of LEBC who quality control all provisions to ensure they are operating safely. We complete quality assurance checks through annual Lesson Observations and Marking Scrutinies. </w:t>
            </w:r>
          </w:p>
        </w:tc>
      </w:tr>
      <w:tr w:rsidR="00ED205F" w14:paraId="540C1ED6"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8F892AD" w14:textId="77777777" w:rsidR="00ED205F" w:rsidRDefault="00000000">
            <w:pPr>
              <w:spacing w:line="240" w:lineRule="auto"/>
            </w:pPr>
            <w:r>
              <w:rPr>
                <w:rFonts w:eastAsia="Times New Roman" w:cs="Calibri"/>
                <w:color w:val="707070"/>
                <w:kern w:val="0"/>
                <w:lang w:eastAsia="en-GB"/>
              </w:rPr>
              <w:t>KS4 - Pupil Premium</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631FBFC0" w14:textId="77777777" w:rsidR="00ED205F" w:rsidRDefault="00000000">
            <w:pPr>
              <w:spacing w:line="240" w:lineRule="auto"/>
            </w:pPr>
            <w:r>
              <w:rPr>
                <w:rFonts w:eastAsia="Times New Roman" w:cs="Calibri"/>
                <w:color w:val="707070"/>
                <w:kern w:val="0"/>
                <w:lang w:eastAsia="en-GB"/>
              </w:rPr>
              <w:t>Pupil premium students will be supplied with additional resources on a case by case basis to ensure they gain the same knowledge and understanding and make progress at the same rate as their peers.</w:t>
            </w:r>
          </w:p>
        </w:tc>
      </w:tr>
      <w:tr w:rsidR="00ED205F" w14:paraId="6E465D24"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07DBC5" w14:textId="77777777" w:rsidR="00ED205F" w:rsidRDefault="00000000">
            <w:pPr>
              <w:spacing w:line="240" w:lineRule="auto"/>
            </w:pPr>
            <w:r>
              <w:rPr>
                <w:rFonts w:eastAsia="Times New Roman" w:cs="Calibri"/>
                <w:color w:val="707070"/>
                <w:kern w:val="0"/>
                <w:lang w:eastAsia="en-GB"/>
              </w:rPr>
              <w:t>KS4 - Higher Level Learners</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78870136" w14:textId="77777777" w:rsidR="00ED205F" w:rsidRDefault="00000000">
            <w:pPr>
              <w:spacing w:line="240" w:lineRule="auto"/>
            </w:pPr>
            <w:r>
              <w:rPr>
                <w:rFonts w:eastAsia="Times New Roman" w:cs="Calibri"/>
                <w:color w:val="707070"/>
                <w:kern w:val="0"/>
                <w:lang w:eastAsia="en-GB"/>
              </w:rPr>
              <w:t>Uneek Learning higher level learners will have the opportunity to access Level 2 academic and vocational qualifications that will be tailored to match need and provide appropriate stretch and challenge.</w:t>
            </w:r>
          </w:p>
        </w:tc>
      </w:tr>
      <w:tr w:rsidR="00ED205F" w14:paraId="77230DA2" w14:textId="77777777">
        <w:tblPrEx>
          <w:tblCellMar>
            <w:top w:w="0" w:type="dxa"/>
            <w:bottom w:w="0" w:type="dxa"/>
          </w:tblCellMar>
        </w:tblPrEx>
        <w:trPr>
          <w:trHeight w:val="216"/>
        </w:trPr>
        <w:tc>
          <w:tcPr>
            <w:tcW w:w="14165" w:type="dxa"/>
            <w:gridSpan w:val="2"/>
            <w:tcBorders>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1C7016E8"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132B7A41" w14:textId="77777777" w:rsidR="00ED205F" w:rsidRDefault="00000000">
            <w:pPr>
              <w:spacing w:line="240" w:lineRule="auto"/>
            </w:pPr>
            <w:r>
              <w:rPr>
                <w:rFonts w:eastAsia="Times New Roman" w:cs="Calibri"/>
                <w:b/>
                <w:bCs/>
                <w:color w:val="707070"/>
                <w:kern w:val="0"/>
                <w:lang w:eastAsia="en-GB"/>
              </w:rPr>
              <w:t>Personal &amp; Social Development</w:t>
            </w:r>
          </w:p>
          <w:p w14:paraId="05FDDD65"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tc>
      </w:tr>
      <w:tr w:rsidR="00ED205F" w14:paraId="4BF35F4D"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B4C6E7"/>
            <w:tcMar>
              <w:top w:w="0" w:type="dxa"/>
              <w:left w:w="108" w:type="dxa"/>
              <w:bottom w:w="0" w:type="dxa"/>
              <w:right w:w="108" w:type="dxa"/>
            </w:tcMar>
          </w:tcPr>
          <w:p w14:paraId="16CEE48F"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1A22FA39" w14:textId="77777777" w:rsidR="00ED205F" w:rsidRDefault="00000000">
            <w:pPr>
              <w:spacing w:line="240" w:lineRule="auto"/>
            </w:pPr>
            <w:r>
              <w:rPr>
                <w:rFonts w:eastAsia="Times New Roman" w:cs="Calibri"/>
                <w:b/>
                <w:bCs/>
                <w:color w:val="707070"/>
                <w:kern w:val="0"/>
                <w:lang w:eastAsia="en-GB"/>
              </w:rPr>
              <w:t>Title of Provision</w:t>
            </w:r>
          </w:p>
          <w:p w14:paraId="4AE61FFE"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tc>
        <w:tc>
          <w:tcPr>
            <w:tcW w:w="11225" w:type="dxa"/>
            <w:tcBorders>
              <w:bottom w:val="single" w:sz="8" w:space="0" w:color="000000"/>
              <w:right w:val="single" w:sz="8" w:space="0" w:color="000000"/>
            </w:tcBorders>
            <w:shd w:val="clear" w:color="auto" w:fill="B4C6E7"/>
            <w:tcMar>
              <w:top w:w="0" w:type="dxa"/>
              <w:left w:w="108" w:type="dxa"/>
              <w:bottom w:w="0" w:type="dxa"/>
              <w:right w:w="108" w:type="dxa"/>
            </w:tcMar>
          </w:tcPr>
          <w:p w14:paraId="79663175" w14:textId="77777777" w:rsidR="00ED205F" w:rsidRDefault="00000000">
            <w:pPr>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60843BB4" w14:textId="77777777" w:rsidR="00ED205F" w:rsidRDefault="00000000">
            <w:pPr>
              <w:spacing w:line="240" w:lineRule="auto"/>
            </w:pPr>
            <w:r>
              <w:rPr>
                <w:rFonts w:eastAsia="Times New Roman" w:cs="Calibri"/>
                <w:b/>
                <w:bCs/>
                <w:color w:val="707070"/>
                <w:kern w:val="0"/>
                <w:lang w:eastAsia="en-GB"/>
              </w:rPr>
              <w:t>Description of Provision &amp; Curriculum Offer</w:t>
            </w:r>
          </w:p>
        </w:tc>
      </w:tr>
      <w:tr w:rsidR="00ED205F" w14:paraId="787A0C75"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9BF0ED" w14:textId="77777777" w:rsidR="00ED205F" w:rsidRDefault="00000000">
            <w:pPr>
              <w:spacing w:line="240" w:lineRule="auto"/>
            </w:pPr>
            <w:r>
              <w:rPr>
                <w:rFonts w:eastAsia="Times New Roman" w:cs="Calibri"/>
                <w:color w:val="707070"/>
                <w:kern w:val="0"/>
                <w:lang w:eastAsia="en-GB"/>
              </w:rPr>
              <w:t>Functional Skills</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437699C7" w14:textId="77777777" w:rsidR="00ED205F" w:rsidRDefault="00000000">
            <w:pPr>
              <w:spacing w:line="240" w:lineRule="auto"/>
              <w:jc w:val="both"/>
            </w:pPr>
            <w:r>
              <w:rPr>
                <w:rFonts w:eastAsia="Times New Roman" w:cs="Calibri"/>
                <w:color w:val="000000"/>
                <w:kern w:val="0"/>
                <w:lang w:eastAsia="en-GB"/>
              </w:rPr>
              <w:t>At Key Stage 4 it is intended that students will deepen their knowledge and understanding, extend and rehearse skills, and further explore attitudes, values and attributes acquired during Key Stage 3. The PSHE curriculum will reflect the fact that students are moving towards an independent role in adult life, taking on greater responsibility for themselves and others. In addition some students have  the opportunity to work towards achieving a Personal Social Development and Employability Skills qualification (Qualifications and content listed below)</w:t>
            </w:r>
          </w:p>
          <w:p w14:paraId="37F62D6D" w14:textId="77777777" w:rsidR="00ED205F" w:rsidRDefault="00000000">
            <w:pPr>
              <w:spacing w:after="0" w:line="240" w:lineRule="auto"/>
              <w:jc w:val="both"/>
            </w:pPr>
            <w:r>
              <w:rPr>
                <w:rFonts w:eastAsia="Times New Roman" w:cs="Calibri"/>
                <w:color w:val="000000"/>
                <w:kern w:val="0"/>
                <w:lang w:eastAsia="en-GB"/>
              </w:rPr>
              <w:t>Level 1 diploma in Personal Social Development</w:t>
            </w:r>
          </w:p>
          <w:p w14:paraId="7A398908" w14:textId="77777777" w:rsidR="00ED205F" w:rsidRDefault="00000000">
            <w:pPr>
              <w:spacing w:after="0" w:line="240" w:lineRule="auto"/>
              <w:jc w:val="both"/>
            </w:pPr>
            <w:r>
              <w:rPr>
                <w:rFonts w:eastAsia="Times New Roman" w:cs="Calibri"/>
                <w:color w:val="000000"/>
                <w:kern w:val="0"/>
                <w:lang w:eastAsia="en-GB"/>
              </w:rPr>
              <w:t>Level 2 diploma in Personal Social Development (In process of being developed and ratified)</w:t>
            </w:r>
          </w:p>
          <w:p w14:paraId="0C4B0154" w14:textId="77777777" w:rsidR="00ED205F" w:rsidRDefault="00000000">
            <w:pPr>
              <w:spacing w:after="0" w:line="240" w:lineRule="auto"/>
              <w:jc w:val="both"/>
            </w:pPr>
            <w:r>
              <w:rPr>
                <w:rFonts w:eastAsia="Times New Roman" w:cs="Calibri"/>
                <w:color w:val="000000"/>
                <w:kern w:val="0"/>
                <w:lang w:eastAsia="en-GB"/>
              </w:rPr>
              <w:t>Level 1 diploma in Employability Skills</w:t>
            </w:r>
          </w:p>
          <w:p w14:paraId="347EAC16" w14:textId="77777777" w:rsidR="00ED205F" w:rsidRDefault="00000000">
            <w:pPr>
              <w:spacing w:after="0"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7A9CA726" w14:textId="77777777" w:rsidR="00ED205F" w:rsidRDefault="00000000">
            <w:pPr>
              <w:spacing w:after="0" w:line="240" w:lineRule="auto"/>
            </w:pPr>
            <w:r>
              <w:rPr>
                <w:rFonts w:eastAsia="Times New Roman" w:cs="Calibri"/>
                <w:color w:val="7030A0"/>
                <w:kern w:val="0"/>
                <w:lang w:eastAsia="en-GB"/>
              </w:rPr>
              <w:t>Course content</w:t>
            </w:r>
          </w:p>
          <w:p w14:paraId="66C550DE" w14:textId="77777777" w:rsidR="00ED205F" w:rsidRDefault="00000000">
            <w:pPr>
              <w:spacing w:after="0"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lastRenderedPageBreak/>
              <w:t> </w:t>
            </w:r>
          </w:p>
          <w:p w14:paraId="3ABC3C6D" w14:textId="77777777" w:rsidR="00ED205F" w:rsidRDefault="00000000">
            <w:pPr>
              <w:spacing w:after="0" w:line="240" w:lineRule="auto"/>
            </w:pPr>
            <w:r>
              <w:rPr>
                <w:rFonts w:eastAsia="Times New Roman" w:cs="Calibri"/>
                <w:b/>
                <w:bCs/>
                <w:color w:val="707070"/>
                <w:kern w:val="0"/>
                <w:lang w:eastAsia="en-GB"/>
              </w:rPr>
              <w:t>Personal Social Development</w:t>
            </w:r>
          </w:p>
          <w:p w14:paraId="6266EB07" w14:textId="77777777" w:rsidR="00ED205F" w:rsidRDefault="00000000">
            <w:pPr>
              <w:spacing w:after="0"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215345AF" w14:textId="77777777" w:rsidR="00ED205F" w:rsidRDefault="00000000">
            <w:pPr>
              <w:numPr>
                <w:ilvl w:val="0"/>
                <w:numId w:val="4"/>
              </w:numPr>
              <w:spacing w:after="0" w:line="240" w:lineRule="auto"/>
            </w:pPr>
            <w:r>
              <w:rPr>
                <w:rFonts w:eastAsia="Times New Roman" w:cs="Calibri"/>
                <w:color w:val="000000"/>
                <w:kern w:val="0"/>
                <w:sz w:val="20"/>
                <w:szCs w:val="20"/>
                <w:lang w:eastAsia="en-GB"/>
              </w:rPr>
              <w:t>Stress management</w:t>
            </w:r>
          </w:p>
          <w:p w14:paraId="12A511C2" w14:textId="77777777" w:rsidR="00ED205F" w:rsidRDefault="00000000">
            <w:pPr>
              <w:numPr>
                <w:ilvl w:val="0"/>
                <w:numId w:val="4"/>
              </w:numPr>
              <w:spacing w:after="0" w:line="240" w:lineRule="auto"/>
            </w:pPr>
            <w:r>
              <w:rPr>
                <w:rFonts w:eastAsia="Times New Roman" w:cs="Calibri"/>
                <w:color w:val="000000"/>
                <w:kern w:val="0"/>
                <w:sz w:val="20"/>
                <w:szCs w:val="20"/>
                <w:lang w:eastAsia="en-GB"/>
              </w:rPr>
              <w:t>Drugs awareness</w:t>
            </w:r>
          </w:p>
          <w:p w14:paraId="61A70861" w14:textId="77777777" w:rsidR="00ED205F" w:rsidRDefault="00000000">
            <w:pPr>
              <w:numPr>
                <w:ilvl w:val="0"/>
                <w:numId w:val="4"/>
              </w:numPr>
              <w:spacing w:after="0" w:line="240" w:lineRule="auto"/>
            </w:pPr>
            <w:r>
              <w:rPr>
                <w:rFonts w:eastAsia="Times New Roman" w:cs="Calibri"/>
                <w:color w:val="000000"/>
                <w:kern w:val="0"/>
                <w:sz w:val="20"/>
                <w:szCs w:val="20"/>
                <w:lang w:eastAsia="en-GB"/>
              </w:rPr>
              <w:t>Cleaning</w:t>
            </w:r>
          </w:p>
          <w:p w14:paraId="5FF96753" w14:textId="77777777" w:rsidR="00ED205F" w:rsidRDefault="00000000">
            <w:pPr>
              <w:numPr>
                <w:ilvl w:val="0"/>
                <w:numId w:val="4"/>
              </w:numPr>
              <w:spacing w:after="0" w:line="240" w:lineRule="auto"/>
            </w:pPr>
            <w:r>
              <w:rPr>
                <w:rFonts w:eastAsia="Times New Roman" w:cs="Calibri"/>
                <w:color w:val="000000"/>
                <w:kern w:val="0"/>
                <w:sz w:val="20"/>
                <w:szCs w:val="20"/>
                <w:lang w:eastAsia="en-GB"/>
              </w:rPr>
              <w:t>Living in the community</w:t>
            </w:r>
          </w:p>
          <w:p w14:paraId="7DFDBF2E" w14:textId="77777777" w:rsidR="00ED205F" w:rsidRDefault="00000000">
            <w:pPr>
              <w:numPr>
                <w:ilvl w:val="0"/>
                <w:numId w:val="4"/>
              </w:numPr>
              <w:spacing w:after="0" w:line="240" w:lineRule="auto"/>
            </w:pPr>
            <w:r>
              <w:rPr>
                <w:rFonts w:eastAsia="Times New Roman" w:cs="Calibri"/>
                <w:color w:val="000000"/>
                <w:kern w:val="0"/>
                <w:sz w:val="20"/>
                <w:szCs w:val="20"/>
                <w:lang w:eastAsia="en-GB"/>
              </w:rPr>
              <w:t>Rights and responsibilities of citizenship</w:t>
            </w:r>
          </w:p>
          <w:p w14:paraId="0A9C345C" w14:textId="77777777" w:rsidR="00ED205F" w:rsidRDefault="00000000">
            <w:pPr>
              <w:numPr>
                <w:ilvl w:val="0"/>
                <w:numId w:val="4"/>
              </w:numPr>
              <w:spacing w:after="0" w:line="240" w:lineRule="auto"/>
            </w:pPr>
            <w:r>
              <w:rPr>
                <w:rFonts w:eastAsia="Times New Roman" w:cs="Calibri"/>
                <w:color w:val="000000"/>
                <w:kern w:val="0"/>
                <w:sz w:val="20"/>
                <w:szCs w:val="20"/>
                <w:lang w:eastAsia="en-GB"/>
              </w:rPr>
              <w:t>Personal safety</w:t>
            </w:r>
          </w:p>
          <w:p w14:paraId="25916F96" w14:textId="77777777" w:rsidR="00ED205F" w:rsidRDefault="00000000">
            <w:pPr>
              <w:numPr>
                <w:ilvl w:val="0"/>
                <w:numId w:val="4"/>
              </w:numPr>
              <w:spacing w:after="0" w:line="240" w:lineRule="auto"/>
            </w:pPr>
            <w:r>
              <w:rPr>
                <w:rFonts w:eastAsia="Times New Roman" w:cs="Calibri"/>
                <w:color w:val="000000"/>
                <w:kern w:val="0"/>
                <w:sz w:val="20"/>
                <w:szCs w:val="20"/>
                <w:lang w:eastAsia="en-GB"/>
              </w:rPr>
              <w:t>College induction</w:t>
            </w:r>
          </w:p>
          <w:p w14:paraId="57728FE1" w14:textId="77777777" w:rsidR="00ED205F" w:rsidRDefault="00000000">
            <w:pPr>
              <w:numPr>
                <w:ilvl w:val="0"/>
                <w:numId w:val="4"/>
              </w:numPr>
              <w:spacing w:after="0" w:line="240" w:lineRule="auto"/>
            </w:pPr>
            <w:r>
              <w:rPr>
                <w:rFonts w:eastAsia="Times New Roman" w:cs="Calibri"/>
                <w:color w:val="000000"/>
                <w:kern w:val="0"/>
                <w:sz w:val="20"/>
                <w:szCs w:val="20"/>
                <w:lang w:eastAsia="en-GB"/>
              </w:rPr>
              <w:t>Bullying</w:t>
            </w:r>
          </w:p>
          <w:p w14:paraId="61068207" w14:textId="77777777" w:rsidR="00ED205F" w:rsidRDefault="00000000">
            <w:pPr>
              <w:spacing w:after="0"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51B737D5" w14:textId="77777777" w:rsidR="00ED205F" w:rsidRDefault="00000000">
            <w:pPr>
              <w:spacing w:after="0" w:line="240" w:lineRule="auto"/>
            </w:pPr>
            <w:r>
              <w:rPr>
                <w:rFonts w:eastAsia="Times New Roman" w:cs="Calibri"/>
                <w:b/>
                <w:bCs/>
                <w:color w:val="000000"/>
                <w:kern w:val="0"/>
                <w:sz w:val="20"/>
                <w:szCs w:val="20"/>
                <w:lang w:eastAsia="en-GB"/>
              </w:rPr>
              <w:t>Employability</w:t>
            </w:r>
          </w:p>
          <w:p w14:paraId="7CE5D8CA" w14:textId="77777777" w:rsidR="00ED205F" w:rsidRDefault="00000000">
            <w:pPr>
              <w:spacing w:after="0"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18BACB99" w14:textId="77777777" w:rsidR="00ED205F" w:rsidRDefault="00000000">
            <w:pPr>
              <w:numPr>
                <w:ilvl w:val="0"/>
                <w:numId w:val="5"/>
              </w:numPr>
              <w:spacing w:after="0" w:line="240" w:lineRule="auto"/>
            </w:pPr>
            <w:r>
              <w:rPr>
                <w:rFonts w:eastAsia="Times New Roman" w:cs="Calibri"/>
                <w:color w:val="000000"/>
                <w:kern w:val="0"/>
                <w:sz w:val="20"/>
                <w:szCs w:val="20"/>
                <w:lang w:eastAsia="en-GB"/>
              </w:rPr>
              <w:t>Action planning</w:t>
            </w:r>
          </w:p>
          <w:p w14:paraId="51217D21" w14:textId="77777777" w:rsidR="00ED205F" w:rsidRDefault="00000000">
            <w:pPr>
              <w:numPr>
                <w:ilvl w:val="0"/>
                <w:numId w:val="5"/>
              </w:numPr>
              <w:spacing w:after="0" w:line="240" w:lineRule="auto"/>
            </w:pPr>
            <w:r>
              <w:rPr>
                <w:rFonts w:eastAsia="Times New Roman" w:cs="Calibri"/>
                <w:color w:val="000000"/>
                <w:kern w:val="0"/>
                <w:sz w:val="20"/>
                <w:szCs w:val="20"/>
                <w:lang w:eastAsia="en-GB"/>
              </w:rPr>
              <w:t>Career portfolio</w:t>
            </w:r>
          </w:p>
          <w:p w14:paraId="0CCA3EF2" w14:textId="77777777" w:rsidR="00ED205F" w:rsidRDefault="00000000">
            <w:pPr>
              <w:numPr>
                <w:ilvl w:val="0"/>
                <w:numId w:val="5"/>
              </w:numPr>
              <w:spacing w:after="0" w:line="240" w:lineRule="auto"/>
            </w:pPr>
            <w:r>
              <w:rPr>
                <w:rFonts w:eastAsia="Times New Roman" w:cs="Calibri"/>
                <w:color w:val="000000"/>
                <w:kern w:val="0"/>
                <w:sz w:val="20"/>
                <w:szCs w:val="20"/>
                <w:lang w:eastAsia="en-GB"/>
              </w:rPr>
              <w:t>Time management</w:t>
            </w:r>
          </w:p>
          <w:p w14:paraId="45DD893A" w14:textId="77777777" w:rsidR="00ED205F" w:rsidRDefault="00000000">
            <w:pPr>
              <w:numPr>
                <w:ilvl w:val="0"/>
                <w:numId w:val="5"/>
              </w:numPr>
              <w:spacing w:after="0" w:line="240" w:lineRule="auto"/>
            </w:pPr>
            <w:r>
              <w:rPr>
                <w:rFonts w:eastAsia="Times New Roman" w:cs="Calibri"/>
                <w:color w:val="000000"/>
                <w:kern w:val="0"/>
                <w:sz w:val="20"/>
                <w:szCs w:val="20"/>
                <w:lang w:eastAsia="en-GB"/>
              </w:rPr>
              <w:t>Building confidence</w:t>
            </w:r>
          </w:p>
          <w:p w14:paraId="5EE66291" w14:textId="77777777" w:rsidR="00ED205F" w:rsidRDefault="00000000">
            <w:pPr>
              <w:numPr>
                <w:ilvl w:val="0"/>
                <w:numId w:val="5"/>
              </w:numPr>
              <w:spacing w:after="0" w:line="240" w:lineRule="auto"/>
            </w:pPr>
            <w:r>
              <w:rPr>
                <w:rFonts w:eastAsia="Times New Roman" w:cs="Calibri"/>
                <w:color w:val="000000"/>
                <w:kern w:val="0"/>
                <w:sz w:val="20"/>
                <w:szCs w:val="20"/>
                <w:lang w:eastAsia="en-GB"/>
              </w:rPr>
              <w:t>CV writing</w:t>
            </w:r>
          </w:p>
          <w:p w14:paraId="47602F1D" w14:textId="77777777" w:rsidR="00ED205F" w:rsidRDefault="00000000">
            <w:pPr>
              <w:numPr>
                <w:ilvl w:val="0"/>
                <w:numId w:val="5"/>
              </w:numPr>
              <w:spacing w:after="0" w:line="240" w:lineRule="auto"/>
            </w:pPr>
            <w:r>
              <w:rPr>
                <w:rFonts w:eastAsia="Times New Roman" w:cs="Calibri"/>
                <w:color w:val="000000"/>
                <w:kern w:val="0"/>
                <w:sz w:val="20"/>
                <w:szCs w:val="20"/>
                <w:lang w:eastAsia="en-GB"/>
              </w:rPr>
              <w:t>Preparation for recruitment</w:t>
            </w:r>
          </w:p>
          <w:p w14:paraId="4FFC4E97" w14:textId="77777777" w:rsidR="00ED205F" w:rsidRDefault="00000000">
            <w:pPr>
              <w:numPr>
                <w:ilvl w:val="0"/>
                <w:numId w:val="5"/>
              </w:numPr>
              <w:spacing w:after="0" w:line="240" w:lineRule="auto"/>
            </w:pPr>
            <w:r>
              <w:rPr>
                <w:rFonts w:eastAsia="Times New Roman" w:cs="Calibri"/>
                <w:color w:val="000000"/>
                <w:kern w:val="0"/>
                <w:sz w:val="20"/>
                <w:szCs w:val="20"/>
                <w:lang w:eastAsia="en-GB"/>
              </w:rPr>
              <w:t>Job seeking skills</w:t>
            </w:r>
          </w:p>
          <w:p w14:paraId="1D5FD5A4" w14:textId="77777777" w:rsidR="00ED205F" w:rsidRDefault="00000000">
            <w:pPr>
              <w:numPr>
                <w:ilvl w:val="0"/>
                <w:numId w:val="5"/>
              </w:numPr>
              <w:spacing w:after="0" w:line="240" w:lineRule="auto"/>
            </w:pPr>
            <w:r>
              <w:rPr>
                <w:rFonts w:eastAsia="Times New Roman" w:cs="Calibri"/>
                <w:color w:val="000000"/>
                <w:kern w:val="0"/>
                <w:sz w:val="20"/>
                <w:szCs w:val="20"/>
                <w:lang w:eastAsia="en-GB"/>
              </w:rPr>
              <w:t>Discrimination at work</w:t>
            </w:r>
          </w:p>
          <w:p w14:paraId="0093C5CE" w14:textId="77777777" w:rsidR="00ED205F" w:rsidRDefault="00000000">
            <w:pPr>
              <w:numPr>
                <w:ilvl w:val="0"/>
                <w:numId w:val="5"/>
              </w:numPr>
              <w:spacing w:after="0" w:line="240" w:lineRule="auto"/>
            </w:pPr>
            <w:r>
              <w:rPr>
                <w:rFonts w:eastAsia="Times New Roman" w:cs="Calibri"/>
                <w:color w:val="000000"/>
                <w:kern w:val="0"/>
                <w:sz w:val="20"/>
                <w:szCs w:val="20"/>
                <w:lang w:eastAsia="en-GB"/>
              </w:rPr>
              <w:t>Conflict resolution</w:t>
            </w:r>
          </w:p>
          <w:p w14:paraId="40181F6A" w14:textId="77777777" w:rsidR="00ED205F" w:rsidRDefault="00000000">
            <w:pPr>
              <w:spacing w:after="0" w:line="240" w:lineRule="auto"/>
              <w:ind w:left="720"/>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tc>
      </w:tr>
      <w:tr w:rsidR="00ED205F" w14:paraId="4BAD9CE9" w14:textId="77777777">
        <w:tblPrEx>
          <w:tblCellMar>
            <w:top w:w="0" w:type="dxa"/>
            <w:bottom w:w="0" w:type="dxa"/>
          </w:tblCellMar>
        </w:tblPrEx>
        <w:trPr>
          <w:trHeight w:val="216"/>
        </w:trPr>
        <w:tc>
          <w:tcPr>
            <w:tcW w:w="294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3CDFD5" w14:textId="77777777" w:rsidR="00ED205F" w:rsidRDefault="00000000">
            <w:pPr>
              <w:spacing w:line="240" w:lineRule="auto"/>
            </w:pPr>
            <w:r>
              <w:rPr>
                <w:rFonts w:eastAsia="Times New Roman" w:cs="Calibri"/>
                <w:color w:val="707070"/>
                <w:kern w:val="0"/>
                <w:lang w:eastAsia="en-GB"/>
              </w:rPr>
              <w:lastRenderedPageBreak/>
              <w:t>KS4 - Vocational</w:t>
            </w:r>
          </w:p>
        </w:tc>
        <w:tc>
          <w:tcPr>
            <w:tcW w:w="11225" w:type="dxa"/>
            <w:tcBorders>
              <w:bottom w:val="single" w:sz="8" w:space="0" w:color="000000"/>
              <w:right w:val="single" w:sz="8" w:space="0" w:color="000000"/>
            </w:tcBorders>
            <w:shd w:val="clear" w:color="auto" w:fill="FFFFFF"/>
            <w:tcMar>
              <w:top w:w="0" w:type="dxa"/>
              <w:left w:w="108" w:type="dxa"/>
              <w:bottom w:w="0" w:type="dxa"/>
              <w:right w:w="108" w:type="dxa"/>
            </w:tcMar>
          </w:tcPr>
          <w:p w14:paraId="2363EDFC" w14:textId="77777777" w:rsidR="00ED205F" w:rsidRDefault="00000000">
            <w:pPr>
              <w:spacing w:line="240" w:lineRule="auto"/>
              <w:jc w:val="both"/>
            </w:pPr>
            <w:r>
              <w:rPr>
                <w:rFonts w:eastAsia="Times New Roman" w:cs="Calibri"/>
                <w:color w:val="000000"/>
                <w:kern w:val="0"/>
                <w:lang w:eastAsia="en-GB"/>
              </w:rPr>
              <w:t>All KS4 students will have the opportunity to gain vocational qualifications, skills and qualities alongside academic qualifications. With the two combined strands of learning it is expected that the young people will be able to make well informed realistic decisions about career and post-16 choices to ensure they have the opportunity to progress and move into appropriate Education, Employment or Training.</w:t>
            </w:r>
          </w:p>
        </w:tc>
      </w:tr>
    </w:tbl>
    <w:p w14:paraId="5E69719B" w14:textId="77777777" w:rsidR="00ED205F" w:rsidRDefault="00000000">
      <w:pPr>
        <w:shd w:val="clear" w:color="auto" w:fill="FFFFFF"/>
        <w:spacing w:line="240" w:lineRule="auto"/>
        <w:rPr>
          <w:rFonts w:ascii="Open Sans" w:eastAsia="Times New Roman" w:hAnsi="Open Sans" w:cs="Open Sans"/>
          <w:color w:val="707070"/>
          <w:kern w:val="0"/>
          <w:sz w:val="21"/>
          <w:szCs w:val="21"/>
          <w:lang w:eastAsia="en-GB"/>
        </w:rPr>
      </w:pPr>
      <w:r>
        <w:rPr>
          <w:rFonts w:ascii="Open Sans" w:eastAsia="Times New Roman" w:hAnsi="Open Sans" w:cs="Open Sans"/>
          <w:color w:val="707070"/>
          <w:kern w:val="0"/>
          <w:sz w:val="21"/>
          <w:szCs w:val="21"/>
          <w:lang w:eastAsia="en-GB"/>
        </w:rPr>
        <w:t> </w:t>
      </w:r>
    </w:p>
    <w:p w14:paraId="0E3834C8" w14:textId="77777777" w:rsidR="00ED205F" w:rsidRDefault="00ED205F"/>
    <w:sectPr w:rsidR="00ED205F">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11DE8" w14:textId="77777777" w:rsidR="009E6EFB" w:rsidRDefault="009E6EFB">
      <w:pPr>
        <w:spacing w:after="0" w:line="240" w:lineRule="auto"/>
      </w:pPr>
      <w:r>
        <w:separator/>
      </w:r>
    </w:p>
  </w:endnote>
  <w:endnote w:type="continuationSeparator" w:id="0">
    <w:p w14:paraId="6ECDAD50" w14:textId="77777777" w:rsidR="009E6EFB" w:rsidRDefault="009E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font>
  <w:font w:name="Open Sans">
    <w:altName w:val="Segoe U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8F06" w14:textId="77777777" w:rsidR="009E6EFB" w:rsidRDefault="009E6EFB">
      <w:pPr>
        <w:spacing w:after="0" w:line="240" w:lineRule="auto"/>
      </w:pPr>
      <w:r>
        <w:rPr>
          <w:color w:val="000000"/>
        </w:rPr>
        <w:separator/>
      </w:r>
    </w:p>
  </w:footnote>
  <w:footnote w:type="continuationSeparator" w:id="0">
    <w:p w14:paraId="5751F2B9" w14:textId="77777777" w:rsidR="009E6EFB" w:rsidRDefault="009E6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084D"/>
    <w:multiLevelType w:val="multilevel"/>
    <w:tmpl w:val="390037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35314D48"/>
    <w:multiLevelType w:val="multilevel"/>
    <w:tmpl w:val="F4B0B6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3D3318E2"/>
    <w:multiLevelType w:val="multilevel"/>
    <w:tmpl w:val="ACC21D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492D141D"/>
    <w:multiLevelType w:val="multilevel"/>
    <w:tmpl w:val="94284E7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4F787099"/>
    <w:multiLevelType w:val="multilevel"/>
    <w:tmpl w:val="EF3C98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529491596">
    <w:abstractNumId w:val="3"/>
  </w:num>
  <w:num w:numId="2" w16cid:durableId="2021082550">
    <w:abstractNumId w:val="0"/>
  </w:num>
  <w:num w:numId="3" w16cid:durableId="1978484899">
    <w:abstractNumId w:val="4"/>
  </w:num>
  <w:num w:numId="4" w16cid:durableId="10185489">
    <w:abstractNumId w:val="1"/>
  </w:num>
  <w:num w:numId="5" w16cid:durableId="1299723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D205F"/>
    <w:rsid w:val="009E6EFB"/>
    <w:rsid w:val="00AB688A"/>
    <w:rsid w:val="00ED2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891F"/>
  <w15:docId w15:val="{AFFB141A-6D59-44C0-861C-EA796440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1307</Words>
  <Characters>7451</Characters>
  <Application>Microsoft Office Word</Application>
  <DocSecurity>0</DocSecurity>
  <Lines>62</Lines>
  <Paragraphs>17</Paragraphs>
  <ScaleCrop>false</ScaleCrop>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Treacy</dc:creator>
  <dc:description/>
  <cp:lastModifiedBy>Jay Treacy</cp:lastModifiedBy>
  <cp:revision>2</cp:revision>
  <dcterms:created xsi:type="dcterms:W3CDTF">2023-06-10T22:01:00Z</dcterms:created>
  <dcterms:modified xsi:type="dcterms:W3CDTF">2023-06-10T22:01:00Z</dcterms:modified>
</cp:coreProperties>
</file>